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Gungsuh" w:cs="Gungsuh" w:eastAsia="Gungsuh" w:hAnsi="Gungsuh"/>
          <w:b w:val="1"/>
          <w:sz w:val="36"/>
          <w:szCs w:val="36"/>
          <w:rtl w:val="0"/>
        </w:rPr>
        <w:t xml:space="preserve">106年度氣候變遷創意實作科學營</w:t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Gungsuh" w:cs="Gungsuh" w:eastAsia="Gungsuh" w:hAnsi="Gungsuh"/>
          <w:b w:val="1"/>
          <w:sz w:val="36"/>
          <w:szCs w:val="36"/>
          <w:rtl w:val="0"/>
        </w:rPr>
        <w:t xml:space="preserve">活動簡章</w:t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一、活動簡介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　  全球環境變遷與溫室效應問題一直是世界各國關注的議題之一，近年來氣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候異常有感，我國對於氣候變遷之調適與減緩越趨重視，除了國內各大機關單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位致力於氣候變遷之因應外，教育領域也理應為此盡一份心力，因此教育部為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了推動氣候變遷調適人才培育教育課程，深化大專生對於氣候變遷的認識與實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務動手能力，辦理「氣候變遷創意實作科學營」。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    有鑑於105年度辦理成果熱烈的迴響，今年度本計畫也將持續舉辦科學營，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藉以延續國人對於氣候變遷的關注力與重視度。本次科學營擴大舉辦北中南三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個場次，課程安排更加縝密而連貫，內容包含國內外氣候變遷的因應趨勢、氣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候變遷案例、創意思考與設計以及小組討論等，活動中除了課堂講授外，也將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安排實作激發學生的創意構想與進行成果交流，讓學員可於課堂中完成明年度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競賽的構想書初稿。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    藉由本次科學營活動，希望再次深化大專院校生對於氣候變遷調適的認識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與敏感度，也透過科學營為明年度創意競賽作準備，全面推廣氣候變遷教育，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培育國家所需的人才，並藉由實踐行動以達永續發展的目的，期待各領域大專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院校師生踴躍報名。</w:t>
      </w:r>
    </w:p>
    <w:p w:rsidR="00000000" w:rsidDel="00000000" w:rsidP="00000000" w:rsidRDefault="00000000" w:rsidRPr="00000000">
      <w:pPr>
        <w:spacing w:after="120" w:line="276" w:lineRule="auto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二、日期與地點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480" w:right="0" w:hanging="480"/>
        <w:contextualSpacing w:val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南部場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-482" w:hanging="611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日期：106年10月21日(六)、10月22日(日)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-482" w:hanging="611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地點：國立成功大學都市計劃學系50102演講廳(701台南市東區大學路1號）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480" w:right="0" w:hanging="480"/>
        <w:contextualSpacing w:val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北部場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-482" w:hanging="611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日期：106年10月28日(六)、10月29日(日)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-482" w:hanging="611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地點：國立臺灣大學師資培育中心103會議室(臺北市羅斯福路四段一號)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480" w:right="0" w:hanging="480"/>
        <w:contextualSpacing w:val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中部場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-482" w:hanging="611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日期：106年11月04日(六)、11月05日(日)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-482" w:hanging="611"/>
        <w:contextualSpacing w:val="0"/>
        <w:jc w:val="left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地點：台中一中科學館地下室演講廳(臺中市北區育才街2號）</w:t>
      </w:r>
    </w:p>
    <w:p w:rsidR="00000000" w:rsidDel="00000000" w:rsidP="00000000" w:rsidRDefault="00000000" w:rsidRPr="00000000">
      <w:pPr>
        <w:widowControl w:val="1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三、報名時間及方式</w:t>
      </w:r>
    </w:p>
    <w:p w:rsidR="00000000" w:rsidDel="00000000" w:rsidP="00000000" w:rsidRDefault="00000000" w:rsidRPr="00000000">
      <w:pPr>
        <w:widowControl w:val="1"/>
        <w:ind w:left="142" w:right="-766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(一)時間：106年9月20日（三）起至每場活動前3天止（額滿提前截止）。</w:t>
      </w:r>
    </w:p>
    <w:p w:rsidR="00000000" w:rsidDel="00000000" w:rsidP="00000000" w:rsidRDefault="00000000" w:rsidRPr="00000000">
      <w:pPr>
        <w:widowControl w:val="1"/>
        <w:ind w:left="142" w:firstLine="0"/>
        <w:contextualSpacing w:val="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(二)方式：採網路線上報名(</w:t>
      </w:r>
      <w:r w:rsidDel="00000000" w:rsidR="00000000" w:rsidRPr="00000000">
        <w:rPr>
          <w:rtl w:val="0"/>
        </w:rPr>
        <w:t xml:space="preserve">http://bit.ly/2xVlN18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</w:t>
      </w:r>
      <w:r w:rsidDel="00000000" w:rsidR="00000000" w:rsidRPr="00000000">
        <w:rPr>
          <w:rFonts w:ascii="Gungsuh" w:cs="Gungsuh" w:eastAsia="Gungsuh" w:hAnsi="Gungsuh"/>
          <w:color w:val="000000"/>
          <w:rtl w:val="0"/>
        </w:rPr>
        <w:t xml:space="preserve">。</w:t>
      </w:r>
      <w:r w:rsidDel="00000000" w:rsidR="00000000" w:rsidRPr="00000000">
        <w:rPr>
          <w:rFonts w:ascii="Times New Roman" w:cs="Times New Roman" w:eastAsia="Times New Roman" w:hAnsi="Times New Roman"/>
          <w:color w:val="000000"/>
        </w:rPr>
        <w:drawing>
          <wp:inline distB="0" distT="0" distL="0" distR="0">
            <wp:extent cx="424815" cy="42481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24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-142" w:firstLine="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四、辦理單位</w:t>
      </w:r>
    </w:p>
    <w:p w:rsidR="00000000" w:rsidDel="00000000" w:rsidP="00000000" w:rsidRDefault="00000000" w:rsidRPr="00000000">
      <w:pPr>
        <w:widowControl w:val="1"/>
        <w:ind w:left="14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(一)指導單位：教育部</w:t>
      </w:r>
    </w:p>
    <w:p w:rsidR="00000000" w:rsidDel="00000000" w:rsidP="00000000" w:rsidRDefault="00000000" w:rsidRPr="00000000">
      <w:pPr>
        <w:widowControl w:val="1"/>
        <w:ind w:left="14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(二)執行單位：國立臺灣大學師資培育中心</w:t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-142" w:firstLine="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五、參與對象</w:t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283" w:firstLine="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各大專院校老師及學生。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-142" w:firstLine="0"/>
        <w:contextualSpacing w:val="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六、重要注意事項</w:t>
      </w:r>
    </w:p>
    <w:p w:rsidR="00000000" w:rsidDel="00000000" w:rsidP="00000000" w:rsidRDefault="00000000" w:rsidRPr="00000000">
      <w:pPr>
        <w:widowControl w:val="1"/>
        <w:ind w:left="14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(一)會議當日提供科學營手冊。</w:t>
      </w:r>
    </w:p>
    <w:p w:rsidR="00000000" w:rsidDel="00000000" w:rsidP="00000000" w:rsidRDefault="00000000" w:rsidRPr="00000000">
      <w:pPr>
        <w:widowControl w:val="1"/>
        <w:ind w:left="14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(二)全程參與者得核發16小時研習時數。</w:t>
      </w:r>
    </w:p>
    <w:p w:rsidR="00000000" w:rsidDel="00000000" w:rsidP="00000000" w:rsidRDefault="00000000" w:rsidRPr="00000000">
      <w:pPr>
        <w:widowControl w:val="1"/>
        <w:ind w:left="14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(三)會議當日提供午餐，為響應環保，請自備飲水杯及餐具。</w:t>
      </w:r>
    </w:p>
    <w:p w:rsidR="00000000" w:rsidDel="00000000" w:rsidP="00000000" w:rsidRDefault="00000000" w:rsidRPr="00000000">
      <w:pPr>
        <w:widowControl w:val="1"/>
        <w:ind w:left="567" w:hanging="425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(四)踴躍參加並轉載活動訊息；會議當日如因天氣因素，造成活動延期，將以電子郵件通知學員，請密切注意相關訊息。</w:t>
      </w:r>
    </w:p>
    <w:p w:rsidR="00000000" w:rsidDel="00000000" w:rsidP="00000000" w:rsidRDefault="00000000" w:rsidRPr="00000000">
      <w:pPr>
        <w:widowControl w:val="1"/>
        <w:ind w:left="567" w:hanging="425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(五)本案聯絡窗口：計畫辦公室／張碧分助理，聯絡電話：(02) 3366-5835#13，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rtl w:val="0"/>
          </w:rPr>
          <w:t xml:space="preserve">geolab504@gmail.com</w:t>
        </w:r>
      </w:hyperlink>
      <w:r w:rsidDel="00000000" w:rsidR="00000000" w:rsidRPr="00000000">
        <w:rPr>
          <w:rFonts w:ascii="Gungsuh" w:cs="Gungsuh" w:eastAsia="Gungsuh" w:hAnsi="Gungsuh"/>
          <w:rtl w:val="0"/>
        </w:rPr>
        <w:t xml:space="preserve">。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</w:rPr>
        <w:sectPr>
          <w:pgSz w:h="16838" w:w="11906"/>
          <w:pgMar w:bottom="1440" w:top="1440" w:left="1800" w:right="1800" w:header="0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七、活動議程</w:t>
      </w:r>
    </w:p>
    <w:tbl>
      <w:tblPr>
        <w:tblStyle w:val="Table1"/>
        <w:tblW w:w="139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93"/>
        <w:gridCol w:w="2670"/>
        <w:gridCol w:w="1942"/>
        <w:gridCol w:w="2511"/>
        <w:gridCol w:w="2315"/>
        <w:gridCol w:w="2017"/>
        <w:tblGridChange w:id="0">
          <w:tblGrid>
            <w:gridCol w:w="2493"/>
            <w:gridCol w:w="2670"/>
            <w:gridCol w:w="1942"/>
            <w:gridCol w:w="2511"/>
            <w:gridCol w:w="2315"/>
            <w:gridCol w:w="2017"/>
          </w:tblGrid>
        </w:tblGridChange>
      </w:tblGrid>
      <w:tr>
        <w:trPr>
          <w:trHeight w:val="360" w:hRule="atLeast"/>
        </w:trPr>
        <w:tc>
          <w:tcPr>
            <w:gridSpan w:val="3"/>
            <w:shd w:fill="8eaadb" w:val="clear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第一天</w:t>
            </w:r>
          </w:p>
        </w:tc>
        <w:tc>
          <w:tcPr>
            <w:gridSpan w:val="3"/>
            <w:shd w:fill="8eaadb" w:val="clear"/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第二天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時間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活動內容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講師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時間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活動內容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講師</w:t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08:30-09:10(40)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報到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08:00-08:40(40)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報到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09:10-10:10(60)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pacing w:before="240" w:lineRule="auto"/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氣候變遷調適創意實作競賽介紹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賴進貴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(北中南)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08:40-10:10(90)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創意思考與設計(一)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林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峰</w:t>
            </w: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田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(北中南)</w:t>
            </w:r>
          </w:p>
        </w:tc>
      </w:tr>
      <w:tr>
        <w:trPr>
          <w:trHeight w:val="40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10:10-10:30(20)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休息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10:10-10:30(20)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休息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trHeight w:val="50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10:30-12:00(90)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氣候變遷調適案例與發展趨勢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李鴻源(北)/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葉欣誠(中)/ 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陸曉筠(南)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10:30-12:00(90)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創意思考與設計(二)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林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峰</w:t>
            </w: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田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(北中南)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12:00-13:30(90)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午餐/休息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12:00-13:30(90)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午餐/休息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trHeight w:val="42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13:30-15:00(90)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氣候變遷減緩與調適-問題挑戰與策略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顧洋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(北中南)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13:30-15:00(90)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歷年競賽作品分享與檢討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黃宏斌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(北中)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李永展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 (南)</w:t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15:00-15:20(20)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休息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15:00-15:20(20)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休息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trHeight w:val="7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15:20-16:50(90)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氣候變遷減緩與調適-問題挑戰與策略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童慶斌(北)/顧洋(中南)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15:20-16:50(90)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歷年競賽作品分享與檢討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黃宏斌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(北中)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李永展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(南)</w:t>
            </w:r>
          </w:p>
        </w:tc>
      </w:tr>
      <w:tr>
        <w:trPr>
          <w:trHeight w:val="36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16:50-17:00(10)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小結/賦歸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16:50-17:00(10)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總結/賦歸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contextualSpacing w:val="0"/>
              <w:jc w:val="center"/>
              <w:rPr>
                <w:rFonts w:ascii="標楷體" w:cs="標楷體" w:eastAsia="標楷體" w:hAnsi="標楷體"/>
                <w:sz w:val="22"/>
                <w:szCs w:val="22"/>
              </w:rPr>
            </w:pPr>
            <w:r w:rsidDel="00000000" w:rsidR="00000000" w:rsidRPr="00000000">
              <w:rPr>
                <w:rFonts w:ascii="標楷體" w:cs="標楷體" w:eastAsia="標楷體" w:hAnsi="標楷體"/>
                <w:sz w:val="22"/>
                <w:szCs w:val="22"/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</w:rPr>
        <w:sectPr>
          <w:type w:val="continuous"/>
          <w:pgSz w:h="16838" w:w="11906"/>
          <w:pgMar w:bottom="1440" w:top="1440" w:left="1800" w:right="1800" w:header="0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八、會場交通資訊</w:t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(一)南部場</w:t>
      </w:r>
    </w:p>
    <w:p w:rsidR="00000000" w:rsidDel="00000000" w:rsidP="00000000" w:rsidRDefault="00000000" w:rsidRPr="00000000">
      <w:pPr>
        <w:widowControl w:val="1"/>
        <w:spacing w:line="500" w:lineRule="auto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1.國立成功大學都市計劃學系地址：701台南市東區大學路1號</w:t>
      </w:r>
    </w:p>
    <w:p w:rsidR="00000000" w:rsidDel="00000000" w:rsidP="00000000" w:rsidRDefault="00000000" w:rsidRPr="00000000">
      <w:pPr>
        <w:widowControl w:val="1"/>
        <w:spacing w:line="500" w:lineRule="auto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2.都市計劃學系系館位置：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985260" cy="4486657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4486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line="500" w:lineRule="auto"/>
        <w:ind w:left="862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圖1、都市計劃系地圖</w:t>
      </w:r>
    </w:p>
    <w:p w:rsidR="00000000" w:rsidDel="00000000" w:rsidP="00000000" w:rsidRDefault="00000000" w:rsidRPr="00000000">
      <w:pPr>
        <w:contextualSpacing w:val="0"/>
        <w:jc w:val="center"/>
        <w:rPr>
          <w:rFonts w:ascii="標楷體" w:cs="標楷體" w:eastAsia="標楷體" w:hAnsi="標楷體"/>
        </w:rPr>
      </w:pPr>
      <w:r w:rsidDel="00000000" w:rsidR="00000000" w:rsidRPr="00000000">
        <w:rPr/>
        <w:drawing>
          <wp:inline distB="0" distT="0" distL="0" distR="0">
            <wp:extent cx="4081910" cy="365239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1910" cy="3652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42" w:right="0" w:firstLine="0"/>
        <w:contextualSpacing w:val="0"/>
        <w:jc w:val="center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圖2、都市計畫系位置圖</w:t>
      </w:r>
    </w:p>
    <w:p w:rsidR="00000000" w:rsidDel="00000000" w:rsidP="00000000" w:rsidRDefault="00000000" w:rsidRPr="00000000">
      <w:pPr>
        <w:ind w:right="329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74310" cy="3513455"/>
            <wp:effectExtent b="0" l="0" r="0" t="0"/>
            <wp:docPr id="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標楷體" w:cs="標楷體" w:eastAsia="標楷體" w:hAnsi="標楷體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圖3、都市計劃系外觀</w:t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7"/>
        </w:numPr>
        <w:ind w:left="720" w:hanging="72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交通資訊</w:t>
      </w:r>
    </w:p>
    <w:p w:rsidR="00000000" w:rsidDel="00000000" w:rsidP="00000000" w:rsidRDefault="00000000" w:rsidRPr="00000000">
      <w:pPr>
        <w:widowControl w:val="1"/>
        <w:ind w:left="86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highlight w:val="lightGray"/>
          <w:rtl w:val="0"/>
        </w:rPr>
        <w:t xml:space="preserve">自行開車（國道路線）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ind w:left="86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南下：</w:t>
      </w:r>
    </w:p>
    <w:p w:rsidR="00000000" w:rsidDel="00000000" w:rsidP="00000000" w:rsidRDefault="00000000" w:rsidRPr="00000000">
      <w:pPr>
        <w:widowControl w:val="1"/>
        <w:ind w:left="86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沿國道一號南下 → 下永康交流道右轉 → 沿中正北路、中正南路(南向)往台南市區直行 → 中華路左轉 → 沿中華東路前進 → 於小東路口右轉 → 直行至光復校區後門口→進入後右側即都市計劃學系位置。【自國道三號南下者，轉國道八號（西向），可接國道一號（南向）】</w:t>
      </w:r>
    </w:p>
    <w:p w:rsidR="00000000" w:rsidDel="00000000" w:rsidP="00000000" w:rsidRDefault="00000000" w:rsidRPr="00000000">
      <w:pPr>
        <w:widowControl w:val="1"/>
        <w:ind w:left="86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北上：</w:t>
      </w:r>
    </w:p>
    <w:p w:rsidR="00000000" w:rsidDel="00000000" w:rsidP="00000000" w:rsidRDefault="00000000" w:rsidRPr="00000000">
      <w:pPr>
        <w:widowControl w:val="1"/>
        <w:ind w:left="86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沿國道一號北上 → 下仁德交流道左轉 → 沿東門路(西向)往台南市區直走 → 遇林森路右轉(北向)，於小東路口至光復校區後門口→進入後右側即為都市計劃學系位置。【自國道三號北上者，轉86號快速道路（西向），可接國道一號（北向）】</w:t>
      </w:r>
    </w:p>
    <w:p w:rsidR="00000000" w:rsidDel="00000000" w:rsidP="00000000" w:rsidRDefault="00000000" w:rsidRPr="00000000">
      <w:pPr>
        <w:widowControl w:val="1"/>
        <w:ind w:left="86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highlight w:val="lightGray"/>
          <w:rtl w:val="0"/>
        </w:rPr>
        <w:t xml:space="preserve">搭乘火車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ind w:left="86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台鐵台南站後站出口（大學路）左前方即為本校光復校區。</w:t>
      </w:r>
    </w:p>
    <w:p w:rsidR="00000000" w:rsidDel="00000000" w:rsidP="00000000" w:rsidRDefault="00000000" w:rsidRPr="00000000">
      <w:pPr>
        <w:widowControl w:val="1"/>
        <w:ind w:left="86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highlight w:val="lightGray"/>
          <w:rtl w:val="0"/>
        </w:rPr>
        <w:t xml:space="preserve">搭乘高鐵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ind w:left="862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高鐵台南站下車，轉乘沙崙支線前往台鐵台南站，後站出口（大學路）左前方即為本校光復校區。</w:t>
      </w:r>
    </w:p>
    <w:p w:rsidR="00000000" w:rsidDel="00000000" w:rsidP="00000000" w:rsidRDefault="00000000" w:rsidRPr="00000000">
      <w:pPr>
        <w:widowControl w:val="1"/>
        <w:numPr>
          <w:ilvl w:val="0"/>
          <w:numId w:val="7"/>
        </w:numPr>
        <w:spacing w:line="500" w:lineRule="auto"/>
        <w:ind w:left="720" w:hanging="72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成功大學交通位置圖</w:t>
      </w:r>
    </w:p>
    <w:p w:rsidR="00000000" w:rsidDel="00000000" w:rsidP="00000000" w:rsidRDefault="00000000" w:rsidRPr="00000000">
      <w:pPr>
        <w:widowControl w:val="1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3314003" cy="4787073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003" cy="4787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圖4、成功大學交通位置圖</w:t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(二)北部場</w:t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1.國立臺灣大學地址：臺北市羅斯福路四段一號</w:t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2.師資培育中心103會議室位置：</w:t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567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0" distT="0" distL="0" distR="0">
            <wp:extent cx="3556120" cy="2933800"/>
            <wp:effectExtent b="0" l="0" r="0" t="0"/>
            <wp:docPr id="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120" cy="29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3.交通資訊</w:t>
      </w:r>
    </w:p>
    <w:tbl>
      <w:tblPr>
        <w:tblStyle w:val="Table3"/>
        <w:tblW w:w="9102.0" w:type="dxa"/>
        <w:jc w:val="left"/>
        <w:tblInd w:w="0.0" w:type="dxa"/>
        <w:tblLayout w:type="fixed"/>
        <w:tblLook w:val="0400"/>
      </w:tblPr>
      <w:tblGrid>
        <w:gridCol w:w="993"/>
        <w:gridCol w:w="8109"/>
        <w:tblGridChange w:id="0">
          <w:tblGrid>
            <w:gridCol w:w="993"/>
            <w:gridCol w:w="8109"/>
          </w:tblGrid>
        </w:tblGridChange>
      </w:tblGrid>
      <w:tr>
        <w:tc>
          <w:tcPr>
            <w:shd w:fill="d1cfd1" w:val="clear"/>
            <w:vAlign w:val="center"/>
          </w:tcPr>
          <w:p w:rsidR="00000000" w:rsidDel="00000000" w:rsidP="00000000" w:rsidRDefault="00000000" w:rsidRPr="00000000">
            <w:pPr>
              <w:widowControl w:val="1"/>
              <w:contextualSpacing w:val="0"/>
              <w:jc w:val="center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515554"/>
                <w:sz w:val="22"/>
                <w:szCs w:val="22"/>
                <w:rtl w:val="0"/>
              </w:rPr>
              <w:t xml:space="preserve">一、開車</w:t>
            </w:r>
          </w:p>
        </w:tc>
        <w:tc>
          <w:tcPr>
            <w:shd w:fill="f0f0f0" w:val="clear"/>
            <w:vAlign w:val="center"/>
          </w:tcPr>
          <w:p w:rsidR="00000000" w:rsidDel="00000000" w:rsidP="00000000" w:rsidRDefault="00000000" w:rsidRPr="00000000">
            <w:pPr>
              <w:widowControl w:val="1"/>
              <w:contextualSpacing w:val="0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515554"/>
                <w:sz w:val="22"/>
                <w:szCs w:val="22"/>
                <w:rtl w:val="0"/>
              </w:rPr>
              <w:t xml:space="preserve">自辛亥路、復興南路口台灣大學第二校門進入</w:t>
            </w:r>
          </w:p>
        </w:tc>
      </w:tr>
      <w:tr>
        <w:tc>
          <w:tcPr>
            <w:shd w:fill="ffffff" w:val="clear"/>
            <w:vAlign w:val="center"/>
          </w:tcPr>
          <w:p w:rsidR="00000000" w:rsidDel="00000000" w:rsidP="00000000" w:rsidRDefault="00000000" w:rsidRPr="00000000">
            <w:pPr>
              <w:widowControl w:val="1"/>
              <w:contextualSpacing w:val="0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719.0" w:type="dxa"/>
              <w:jc w:val="left"/>
              <w:tblLayout w:type="fixed"/>
              <w:tblLook w:val="0400"/>
            </w:tblPr>
            <w:tblGrid>
              <w:gridCol w:w="7719"/>
              <w:tblGridChange w:id="0">
                <w:tblGrid>
                  <w:gridCol w:w="7719"/>
                </w:tblGrid>
              </w:tblGridChange>
            </w:tblGrid>
            <w:tr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>
                  <w:pPr>
                    <w:widowControl w:val="1"/>
                    <w:contextualSpacing w:val="0"/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Gungsuh" w:cs="Gungsuh" w:eastAsia="Gungsuh" w:hAnsi="Gungsuh"/>
                      <w:sz w:val="22"/>
                      <w:szCs w:val="22"/>
                      <w:rtl w:val="0"/>
                    </w:rPr>
                    <w:t xml:space="preserve">1、國道 1 號由建國高辛亥路匝道（木柵/景美）出口下，走辛亥路至復興南路</w:t>
                  </w:r>
                </w:p>
                <w:p w:rsidR="00000000" w:rsidDel="00000000" w:rsidP="00000000" w:rsidRDefault="00000000" w:rsidRPr="00000000">
                  <w:pPr>
                    <w:widowControl w:val="1"/>
                    <w:contextualSpacing w:val="0"/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Gungsuh" w:cs="Gungsuh" w:eastAsia="Gungsuh" w:hAnsi="Gungsuh"/>
                      <w:sz w:val="22"/>
                      <w:szCs w:val="22"/>
                      <w:rtl w:val="0"/>
                    </w:rPr>
                    <w:t xml:space="preserve">口右轉入臺大後門即達。</w:t>
                  </w:r>
                </w:p>
                <w:p w:rsidR="00000000" w:rsidDel="00000000" w:rsidP="00000000" w:rsidRDefault="00000000" w:rsidRPr="00000000">
                  <w:pPr>
                    <w:widowControl w:val="1"/>
                    <w:contextualSpacing w:val="0"/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Gungsuh" w:cs="Gungsuh" w:eastAsia="Gungsuh" w:hAnsi="Gungsuh"/>
                      <w:sz w:val="22"/>
                      <w:szCs w:val="22"/>
                      <w:rtl w:val="0"/>
                    </w:rPr>
                    <w:t xml:space="preserve">2、國道 3 號由 20.8 公里木柵交流道下往臺北方向，繞至國三甲線至辛亥路，</w:t>
                  </w:r>
                </w:p>
                <w:p w:rsidR="00000000" w:rsidDel="00000000" w:rsidP="00000000" w:rsidRDefault="00000000" w:rsidRPr="00000000">
                  <w:pPr>
                    <w:widowControl w:val="1"/>
                    <w:contextualSpacing w:val="0"/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Gungsuh" w:cs="Gungsuh" w:eastAsia="Gungsuh" w:hAnsi="Gungsuh"/>
                      <w:sz w:val="22"/>
                      <w:szCs w:val="22"/>
                      <w:rtl w:val="0"/>
                    </w:rPr>
                    <w:t xml:space="preserve">穿過基隆路隧道後靠右慢車道行駛，過了復興南路後第一條巷子右轉走約</w:t>
                  </w:r>
                </w:p>
                <w:p w:rsidR="00000000" w:rsidDel="00000000" w:rsidP="00000000" w:rsidRDefault="00000000" w:rsidRPr="00000000">
                  <w:pPr>
                    <w:widowControl w:val="1"/>
                    <w:contextualSpacing w:val="0"/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Gungsuh" w:cs="Gungsuh" w:eastAsia="Gungsuh" w:hAnsi="Gungsuh"/>
                      <w:sz w:val="22"/>
                      <w:szCs w:val="22"/>
                      <w:rtl w:val="0"/>
                    </w:rPr>
                    <w:t xml:space="preserve">70 公尺再兩次右轉繞至復興南路後直走臺大後門即達。</w:t>
                  </w:r>
                </w:p>
                <w:p w:rsidR="00000000" w:rsidDel="00000000" w:rsidP="00000000" w:rsidRDefault="00000000" w:rsidRPr="00000000">
                  <w:pPr>
                    <w:widowControl w:val="1"/>
                    <w:contextualSpacing w:val="0"/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Fonts w:ascii="Gungsuh" w:cs="Gungsuh" w:eastAsia="Gungsuh" w:hAnsi="Gungsuh"/>
                      <w:sz w:val="22"/>
                      <w:szCs w:val="22"/>
                      <w:rtl w:val="0"/>
                    </w:rPr>
                    <w:t xml:space="preserve">(臺大停車需出示開會通知。)</w:t>
                  </w:r>
                </w:p>
              </w:tc>
            </w:tr>
          </w:tbl>
          <w:p w:rsidR="00000000" w:rsidDel="00000000" w:rsidP="00000000" w:rsidRDefault="00000000" w:rsidRPr="00000000">
            <w:pPr>
              <w:widowControl w:val="1"/>
              <w:contextualSpacing w:val="0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color w:val="515554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02.0" w:type="dxa"/>
        <w:jc w:val="left"/>
        <w:tblInd w:w="0.0" w:type="dxa"/>
        <w:tblLayout w:type="fixed"/>
        <w:tblLook w:val="0400"/>
      </w:tblPr>
      <w:tblGrid>
        <w:gridCol w:w="993"/>
        <w:gridCol w:w="8109"/>
        <w:tblGridChange w:id="0">
          <w:tblGrid>
            <w:gridCol w:w="993"/>
            <w:gridCol w:w="8109"/>
          </w:tblGrid>
        </w:tblGridChange>
      </w:tblGrid>
      <w:tr>
        <w:tc>
          <w:tcPr>
            <w:shd w:fill="d1cfd1" w:val="clear"/>
            <w:vAlign w:val="center"/>
          </w:tcPr>
          <w:p w:rsidR="00000000" w:rsidDel="00000000" w:rsidP="00000000" w:rsidRDefault="00000000" w:rsidRPr="00000000">
            <w:pPr>
              <w:widowControl w:val="1"/>
              <w:contextualSpacing w:val="0"/>
              <w:jc w:val="center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515554"/>
                <w:sz w:val="22"/>
                <w:szCs w:val="22"/>
                <w:rtl w:val="0"/>
              </w:rPr>
              <w:t xml:space="preserve">二、捷運</w:t>
            </w:r>
          </w:p>
        </w:tc>
        <w:tc>
          <w:tcPr>
            <w:shd w:fill="f0f0f0" w:val="clear"/>
            <w:vAlign w:val="center"/>
          </w:tcPr>
          <w:p w:rsidR="00000000" w:rsidDel="00000000" w:rsidP="00000000" w:rsidRDefault="00000000" w:rsidRPr="00000000">
            <w:pPr>
              <w:widowControl w:val="1"/>
              <w:ind w:right="-312"/>
              <w:contextualSpacing w:val="0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515554"/>
                <w:sz w:val="22"/>
                <w:szCs w:val="22"/>
                <w:rtl w:val="0"/>
              </w:rPr>
              <w:t xml:space="preserve">科技大樓站</w:t>
            </w:r>
          </w:p>
        </w:tc>
      </w:tr>
      <w:tr>
        <w:trPr>
          <w:trHeight w:val="220" w:hRule="atLeast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>
            <w:pPr>
              <w:widowControl w:val="1"/>
              <w:contextualSpacing w:val="0"/>
              <w:jc w:val="center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>
            <w:pPr>
              <w:widowControl w:val="1"/>
              <w:ind w:left="111" w:hanging="0.9999999999999964"/>
              <w:contextualSpacing w:val="0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595959"/>
                <w:sz w:val="22"/>
                <w:szCs w:val="22"/>
                <w:rtl w:val="0"/>
              </w:rPr>
              <w:t xml:space="preserve">在科技大樓站下車，之後沿著復興南路往南走，便可抵達本校辛亥門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color w:val="515554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102.0" w:type="dxa"/>
        <w:jc w:val="left"/>
        <w:tblInd w:w="0.0" w:type="dxa"/>
        <w:tblLayout w:type="fixed"/>
        <w:tblLook w:val="0400"/>
      </w:tblPr>
      <w:tblGrid>
        <w:gridCol w:w="993"/>
        <w:gridCol w:w="8109"/>
        <w:tblGridChange w:id="0">
          <w:tblGrid>
            <w:gridCol w:w="993"/>
            <w:gridCol w:w="8109"/>
          </w:tblGrid>
        </w:tblGridChange>
      </w:tblGrid>
      <w:tr>
        <w:tc>
          <w:tcPr>
            <w:shd w:fill="d1cfd1" w:val="clear"/>
            <w:vAlign w:val="center"/>
          </w:tcPr>
          <w:p w:rsidR="00000000" w:rsidDel="00000000" w:rsidP="00000000" w:rsidRDefault="00000000" w:rsidRPr="00000000">
            <w:pPr>
              <w:widowControl w:val="1"/>
              <w:contextualSpacing w:val="0"/>
              <w:jc w:val="center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515554"/>
                <w:sz w:val="22"/>
                <w:szCs w:val="22"/>
                <w:rtl w:val="0"/>
              </w:rPr>
              <w:t xml:space="preserve">三、公車</w:t>
            </w:r>
          </w:p>
        </w:tc>
        <w:tc>
          <w:tcPr>
            <w:shd w:fill="f0f0f0" w:val="clear"/>
            <w:vAlign w:val="center"/>
          </w:tcPr>
          <w:p w:rsidR="00000000" w:rsidDel="00000000" w:rsidP="00000000" w:rsidRDefault="00000000" w:rsidRPr="00000000">
            <w:pPr>
              <w:widowControl w:val="1"/>
              <w:contextualSpacing w:val="0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595959"/>
                <w:sz w:val="22"/>
                <w:szCs w:val="22"/>
                <w:rtl w:val="0"/>
              </w:rPr>
              <w:t xml:space="preserve">青年活動中心站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>
            <w:pPr>
              <w:widowControl w:val="1"/>
              <w:contextualSpacing w:val="0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>
            <w:pPr>
              <w:widowControl w:val="1"/>
              <w:contextualSpacing w:val="0"/>
              <w:rPr>
                <w:rFonts w:ascii="Times New Roman" w:cs="Times New Roman" w:eastAsia="Times New Roman" w:hAnsi="Times New Roman"/>
                <w:color w:val="515554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1"/>
        <w:spacing w:after="120" w:before="120" w:lineRule="auto"/>
        <w:ind w:left="851" w:right="-1190" w:hanging="851"/>
        <w:contextualSpacing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        </w:t>
      </w:r>
      <w:r w:rsidDel="00000000" w:rsidR="00000000" w:rsidRPr="00000000">
        <w:rPr>
          <w:rFonts w:ascii="Gungsuh" w:cs="Gungsuh" w:eastAsia="Gungsuh" w:hAnsi="Gungsuh"/>
          <w:sz w:val="22"/>
          <w:szCs w:val="22"/>
          <w:rtl w:val="0"/>
        </w:rPr>
        <w:t xml:space="preserve">公車3號路線：237、295、298 青年活動中心站（站牌位於辛亥路上）詳圖2。</w:t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567" w:firstLine="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進入台大後：</w:t>
      </w:r>
    </w:p>
    <w:p w:rsidR="00000000" w:rsidDel="00000000" w:rsidP="00000000" w:rsidRDefault="00000000" w:rsidRPr="00000000">
      <w:pPr>
        <w:spacing w:before="120" w:lineRule="auto"/>
        <w:ind w:left="566" w:firstLine="0"/>
        <w:contextualSpacing w:val="0"/>
        <w:rPr>
          <w:rFonts w:ascii="標楷體" w:cs="標楷體" w:eastAsia="標楷體" w:hAnsi="標楷體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1.由臺大正門：沿椰林大道走到底（看見大草坪，右手邊為森林系館），左轉直走看見「生化科學研究所」後右轉直走到底，左轉繼續直走看見「應用力學研究所」後右轉直走再左轉即可看見「新聞研究所」。</w:t>
      </w:r>
    </w:p>
    <w:p w:rsidR="00000000" w:rsidDel="00000000" w:rsidP="00000000" w:rsidRDefault="00000000" w:rsidRPr="00000000">
      <w:pPr>
        <w:spacing w:before="120" w:lineRule="auto"/>
        <w:ind w:left="566" w:firstLine="0"/>
        <w:contextualSpacing w:val="0"/>
        <w:rPr>
          <w:rFonts w:ascii="標楷體" w:cs="標楷體" w:eastAsia="標楷體" w:hAnsi="標楷體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2.由舟山路：捷運公館站2號出口上來，至銘傳國小（水源市場斜對面）進來，沿途右手邊經過「鹿鳴堂」、「生命科學館」，往前走700公尺，通過拱橋看見「瑠公圳水源池」繼續直行，約600公尺看見「明達館」後左轉直走即可至「新聞研究所」。</w:t>
      </w:r>
    </w:p>
    <w:p w:rsidR="00000000" w:rsidDel="00000000" w:rsidP="00000000" w:rsidRDefault="00000000" w:rsidRPr="00000000">
      <w:pPr>
        <w:spacing w:before="120" w:lineRule="auto"/>
        <w:ind w:left="566" w:firstLine="0"/>
        <w:contextualSpacing w:val="0"/>
        <w:rPr>
          <w:rFonts w:ascii="標楷體" w:cs="標楷體" w:eastAsia="標楷體" w:hAnsi="標楷體"/>
        </w:rPr>
      </w:pPr>
      <w:r w:rsidDel="00000000" w:rsidR="00000000" w:rsidRPr="00000000">
        <w:rPr>
          <w:rFonts w:ascii="標楷體" w:cs="標楷體" w:eastAsia="標楷體" w:hAnsi="標楷體"/>
          <w:rtl w:val="0"/>
        </w:rPr>
        <w:t xml:space="preserve">3.由臺大後門：科技大樓站出來後直走至台大後門口，左手邊看見「霖澤館」，進入校門後直走右手邊看見「國家發展研究所」後再直走即可至「新聞研究所」。</w:t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-1800" w:firstLine="0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標楷體" w:cs="標楷體" w:eastAsia="標楷體" w:hAnsi="標楷體"/>
        </w:rPr>
        <w:drawing>
          <wp:inline distB="0" distT="0" distL="0" distR="0">
            <wp:extent cx="7571623" cy="5412008"/>
            <wp:effectExtent b="0" l="0" r="0" t="0"/>
            <wp:docPr id="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1623" cy="5412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3911600</wp:posOffset>
                </wp:positionH>
                <wp:positionV relativeFrom="paragraph">
                  <wp:posOffset>1854200</wp:posOffset>
                </wp:positionV>
                <wp:extent cx="266700" cy="2540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12650" y="3656908"/>
                          <a:ext cx="266700" cy="246185"/>
                        </a:xfrm>
                        <a:prstGeom prst="ellipse">
                          <a:avLst/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3911600</wp:posOffset>
                </wp:positionH>
                <wp:positionV relativeFrom="paragraph">
                  <wp:posOffset>1854200</wp:posOffset>
                </wp:positionV>
                <wp:extent cx="266700" cy="254000"/>
                <wp:effectExtent b="0" l="0" r="0" t="0"/>
                <wp:wrapNone/>
                <wp:docPr id="1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862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圖1、國立臺灣大學台北校區地圖</w:t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-1560" w:firstLine="0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0" distT="0" distL="0" distR="0">
            <wp:extent cx="7317744" cy="5289491"/>
            <wp:effectExtent b="0" l="0" r="0" t="0"/>
            <wp:docPr descr="http://visitorcenter.cloud.ntu.edu.tw/images/p5/map1.jpg" id="9" name="image20.jpg"/>
            <a:graphic>
              <a:graphicData uri="http://schemas.openxmlformats.org/drawingml/2006/picture">
                <pic:pic>
                  <pic:nvPicPr>
                    <pic:cNvPr descr="http://visitorcenter.cloud.ntu.edu.tw/images/p5/map1.jpg" id="0" name="image20.jpg"/>
                    <pic:cNvPicPr preferRelativeResize="0"/>
                  </pic:nvPicPr>
                  <pic:blipFill>
                    <a:blip r:embed="rId14"/>
                    <a:srcRect b="371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7744" cy="52894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3530600</wp:posOffset>
                </wp:positionH>
                <wp:positionV relativeFrom="paragraph">
                  <wp:posOffset>1625600</wp:posOffset>
                </wp:positionV>
                <wp:extent cx="609600" cy="2159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45328" y="3675860"/>
                          <a:ext cx="601345" cy="208280"/>
                        </a:xfrm>
                        <a:prstGeom prst="rect">
                          <a:avLst/>
                        </a:prstGeom>
                        <a:solidFill>
                          <a:srgbClr val="FBE4D4"/>
                        </a:solidFill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1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標楷體" w:cs="標楷體" w:eastAsia="標楷體" w:hAnsi="標楷體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師培中心</w:t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3530600</wp:posOffset>
                </wp:positionH>
                <wp:positionV relativeFrom="paragraph">
                  <wp:posOffset>1625600</wp:posOffset>
                </wp:positionV>
                <wp:extent cx="609600" cy="215900"/>
                <wp:effectExtent b="0" l="0" r="0" t="0"/>
                <wp:wrapNone/>
                <wp:docPr id="1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widowControl w:val="1"/>
        <w:spacing w:after="120" w:before="120" w:lineRule="auto"/>
        <w:ind w:left="567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圖2、國立臺灣大學公車站圖</w:t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Gungsuh" w:cs="Gungsuh" w:eastAsia="Gungsuh" w:hAnsi="Gungsuh"/>
          <w:b w:val="1"/>
          <w:rtl w:val="0"/>
        </w:rPr>
        <w:t xml:space="preserve">(三)台中場</w:t>
      </w:r>
    </w:p>
    <w:p w:rsidR="00000000" w:rsidDel="00000000" w:rsidP="00000000" w:rsidRDefault="00000000" w:rsidRPr="00000000">
      <w:pPr>
        <w:widowControl w:val="1"/>
        <w:spacing w:line="500" w:lineRule="auto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1.台中一中地址：</w:t>
      </w:r>
      <w:r w:rsidDel="00000000" w:rsidR="00000000" w:rsidRPr="00000000">
        <w:rPr>
          <w:rFonts w:ascii="標楷體" w:cs="標楷體" w:eastAsia="標楷體" w:hAnsi="標楷體"/>
          <w:rtl w:val="0"/>
        </w:rPr>
        <w:t xml:space="preserve">臺中市北區育才街2號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line="500" w:lineRule="auto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2.台中一中科學館地下室演講廳位置及交通資訊：</w:t>
      </w:r>
    </w:p>
    <w:p w:rsidR="00000000" w:rsidDel="00000000" w:rsidP="00000000" w:rsidRDefault="00000000" w:rsidRPr="00000000">
      <w:pPr>
        <w:widowControl w:val="1"/>
        <w:spacing w:line="500" w:lineRule="auto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A.搭乘大眾運輸工具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284" w:right="0" w:hanging="284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高鐵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0" w:right="0" w:firstLine="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高鐵快捷公車：搭乘高鐵抵達高鐵台中站，於六號出口搭乘159路高鐵快捷公車(台中高鐵站-中國醫藥大學-台中公園)至「台中一中」站下車，即抵達本校，預估車程約一小時。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hanging="48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轉乘台鐵：於高鐵台中站步行前往台鐵新烏日站，搭乘北上區間車，至台中火車站下車(車程10分鐘)，再轉乘公車或計程車前往台中一中。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0" w:right="0" w:firstLine="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台鐵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hanging="48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轉乘公車：搭乘台鐵至台中火車站，出站後轉乘公車至台中一中站(50路)或台中科技大學站(9、12、35、57、58、100路)下車後步行育才街至台中一中。(路程約3分鐘)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hanging="48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轉乘計程車：台中火車站至本校車資約100元。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hanging="48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客運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hanging="48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於台中車站下車：搭乘國道客運至台中車站，轉乘公車或計程車。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hanging="48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於朝馬轉運站下車：搭乘國道客運至朝馬轉運站，轉乘台中BRT由A12秋紅谷上車至A01台中火車站下車，轉乘公車或計程車。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hanging="48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於統聯中港轉運站下車：搭乘國道客運至統聯中港轉運站轉乘台中BRT由A13福安站至A01台中火車站下車，轉乘公車或計程車。</w:t>
      </w:r>
    </w:p>
    <w:p w:rsidR="00000000" w:rsidDel="00000000" w:rsidP="00000000" w:rsidRDefault="00000000" w:rsidRPr="00000000">
      <w:pPr>
        <w:widowControl w:val="1"/>
        <w:spacing w:line="500" w:lineRule="auto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B.自行開車前往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hanging="48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南下方向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中山高速公路→大雅交流道往台中方向→轉中清路→直行大雅路→直行公園路→左轉三民路→右轉育才街→抵達台中一中。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hanging="480"/>
        <w:contextualSpacing w:val="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北上方向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500" w:lineRule="auto"/>
        <w:ind w:left="567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ungsuh" w:cs="Gungsuh" w:eastAsia="Gungsuh" w:hAnsi="Gungsu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中山高速公路→中港交流道往台中方向→轉臺灣大道→直行臺灣大道路→左傳三民路→右轉育才路→抵達台中一中。</w:t>
      </w:r>
    </w:p>
    <w:p w:rsidR="00000000" w:rsidDel="00000000" w:rsidP="00000000" w:rsidRDefault="00000000" w:rsidRPr="00000000">
      <w:pPr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0" distT="0" distL="0" distR="0">
            <wp:extent cx="3998491" cy="3522406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1957" l="26811" r="27431" t="71605"/>
                    <a:stretch>
                      <a:fillRect/>
                    </a:stretch>
                  </pic:blipFill>
                  <pic:spPr>
                    <a:xfrm>
                      <a:off x="0" y="0"/>
                      <a:ext cx="3998491" cy="3522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contextualSpacing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圖1、台中一中位置圖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/>
        <w:drawing>
          <wp:inline distB="0" distT="0" distL="0" distR="0">
            <wp:extent cx="5273304" cy="3856255"/>
            <wp:effectExtent b="0" l="0" r="0" t="0"/>
            <wp:docPr id="1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3304" cy="3856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line="500" w:lineRule="auto"/>
        <w:ind w:left="142" w:firstLine="0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圖2、台中一中位置圖</w:t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/>
        <w:drawing>
          <wp:inline distB="0" distT="0" distL="0" distR="0">
            <wp:extent cx="3058144" cy="3941420"/>
            <wp:effectExtent b="0" l="0" r="0" t="0"/>
            <wp:docPr descr="「台中一中平面圖」的圖片搜尋結果" id="10" name="image21.jpg"/>
            <a:graphic>
              <a:graphicData uri="http://schemas.openxmlformats.org/drawingml/2006/picture">
                <pic:pic>
                  <pic:nvPicPr>
                    <pic:cNvPr descr="「台中一中平面圖」的圖片搜尋結果" id="0" name="image2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8144" cy="3941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1346200</wp:posOffset>
                </wp:positionH>
                <wp:positionV relativeFrom="paragraph">
                  <wp:posOffset>2984500</wp:posOffset>
                </wp:positionV>
                <wp:extent cx="622300" cy="7239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41200" y="3424400"/>
                          <a:ext cx="609600" cy="711200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1346200</wp:posOffset>
                </wp:positionH>
                <wp:positionV relativeFrom="paragraph">
                  <wp:posOffset>2984500</wp:posOffset>
                </wp:positionV>
                <wp:extent cx="622300" cy="723900"/>
                <wp:effectExtent b="0" l="0" r="0" t="0"/>
                <wp:wrapNone/>
                <wp:docPr id="1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widowControl w:val="1"/>
        <w:spacing w:after="120" w:before="120" w:lineRule="auto"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Gungsuh" w:cs="Gungsuh" w:eastAsia="Gungsuh" w:hAnsi="Gungsuh"/>
          <w:rtl w:val="0"/>
        </w:rPr>
        <w:t xml:space="preserve">圖3、科學館位置圖</w:t>
      </w:r>
    </w:p>
    <w:sectPr>
      <w:type w:val="continuous"/>
      <w:pgSz w:h="16838" w:w="11906"/>
      <w:pgMar w:bottom="1440" w:top="1440" w:left="1800" w:right="1800" w:head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  <w:font w:name="Gungsuh"/>
  <w:font w:name="Noto Sans Symbols"/>
  <w:font w:name="標楷體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■"/>
      <w:lvlJc w:val="left"/>
      <w:pPr>
        <w:ind w:left="2182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2662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3142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22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4102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4582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62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5542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6022" w:hanging="48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■"/>
      <w:lvlJc w:val="left"/>
      <w:pPr>
        <w:ind w:left="2182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2662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3142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22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4102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4582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62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5542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6022" w:hanging="48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(%1) "/>
      <w:lvlJc w:val="left"/>
      <w:pPr>
        <w:ind w:left="720" w:hanging="480"/>
      </w:pPr>
      <w:rPr/>
    </w:lvl>
    <w:lvl w:ilvl="1">
      <w:start w:val="1"/>
      <w:numFmt w:val="decimal"/>
      <w:lvlText w:val="%2、"/>
      <w:lvlJc w:val="left"/>
      <w:pPr>
        <w:ind w:left="1200" w:hanging="480"/>
      </w:pPr>
      <w:rPr/>
    </w:lvl>
    <w:lvl w:ilvl="2">
      <w:start w:val="1"/>
      <w:numFmt w:val="lowerRoman"/>
      <w:lvlText w:val="%3."/>
      <w:lvlJc w:val="right"/>
      <w:pPr>
        <w:ind w:left="1680" w:hanging="480"/>
      </w:pPr>
      <w:rPr/>
    </w:lvl>
    <w:lvl w:ilvl="3">
      <w:start w:val="1"/>
      <w:numFmt w:val="decimal"/>
      <w:lvlText w:val="%4."/>
      <w:lvlJc w:val="left"/>
      <w:pPr>
        <w:ind w:left="2160" w:hanging="480"/>
      </w:pPr>
      <w:rPr/>
    </w:lvl>
    <w:lvl w:ilvl="4">
      <w:start w:val="1"/>
      <w:numFmt w:val="decimal"/>
      <w:lvlText w:val="%5、"/>
      <w:lvlJc w:val="left"/>
      <w:pPr>
        <w:ind w:left="2640" w:hanging="480"/>
      </w:pPr>
      <w:rPr/>
    </w:lvl>
    <w:lvl w:ilvl="5">
      <w:start w:val="1"/>
      <w:numFmt w:val="lowerRoman"/>
      <w:lvlText w:val="%6."/>
      <w:lvlJc w:val="right"/>
      <w:pPr>
        <w:ind w:left="3120" w:hanging="480"/>
      </w:pPr>
      <w:rPr/>
    </w:lvl>
    <w:lvl w:ilvl="6">
      <w:start w:val="1"/>
      <w:numFmt w:val="decimal"/>
      <w:lvlText w:val="%7."/>
      <w:lvlJc w:val="left"/>
      <w:pPr>
        <w:ind w:left="3600" w:hanging="480"/>
      </w:pPr>
      <w:rPr/>
    </w:lvl>
    <w:lvl w:ilvl="7">
      <w:start w:val="1"/>
      <w:numFmt w:val="decimal"/>
      <w:lvlText w:val="%8、"/>
      <w:lvlJc w:val="left"/>
      <w:pPr>
        <w:ind w:left="4080" w:hanging="480"/>
      </w:pPr>
      <w:rPr/>
    </w:lvl>
    <w:lvl w:ilvl="8">
      <w:start w:val="1"/>
      <w:numFmt w:val="lowerRoman"/>
      <w:lvlText w:val="%9."/>
      <w:lvlJc w:val="right"/>
      <w:pPr>
        <w:ind w:left="4560" w:hanging="480"/>
      </w:pPr>
      <w:rPr/>
    </w:lvl>
  </w:abstractNum>
  <w:abstractNum w:abstractNumId="5">
    <w:lvl w:ilvl="0">
      <w:start w:val="1"/>
      <w:numFmt w:val="decimal"/>
      <w:lvlText w:val="(%1) "/>
      <w:lvlJc w:val="left"/>
      <w:pPr>
        <w:ind w:left="720" w:hanging="480"/>
      </w:pPr>
      <w:rPr/>
    </w:lvl>
    <w:lvl w:ilvl="1">
      <w:start w:val="1"/>
      <w:numFmt w:val="decimal"/>
      <w:lvlText w:val="%2、"/>
      <w:lvlJc w:val="left"/>
      <w:pPr>
        <w:ind w:left="1200" w:hanging="480"/>
      </w:pPr>
      <w:rPr/>
    </w:lvl>
    <w:lvl w:ilvl="2">
      <w:start w:val="1"/>
      <w:numFmt w:val="lowerRoman"/>
      <w:lvlText w:val="%3."/>
      <w:lvlJc w:val="right"/>
      <w:pPr>
        <w:ind w:left="1680" w:hanging="480"/>
      </w:pPr>
      <w:rPr/>
    </w:lvl>
    <w:lvl w:ilvl="3">
      <w:start w:val="1"/>
      <w:numFmt w:val="decimal"/>
      <w:lvlText w:val="%4."/>
      <w:lvlJc w:val="left"/>
      <w:pPr>
        <w:ind w:left="2160" w:hanging="480"/>
      </w:pPr>
      <w:rPr/>
    </w:lvl>
    <w:lvl w:ilvl="4">
      <w:start w:val="1"/>
      <w:numFmt w:val="decimal"/>
      <w:lvlText w:val="%5、"/>
      <w:lvlJc w:val="left"/>
      <w:pPr>
        <w:ind w:left="2640" w:hanging="480"/>
      </w:pPr>
      <w:rPr/>
    </w:lvl>
    <w:lvl w:ilvl="5">
      <w:start w:val="1"/>
      <w:numFmt w:val="lowerRoman"/>
      <w:lvlText w:val="%6."/>
      <w:lvlJc w:val="right"/>
      <w:pPr>
        <w:ind w:left="3120" w:hanging="480"/>
      </w:pPr>
      <w:rPr/>
    </w:lvl>
    <w:lvl w:ilvl="6">
      <w:start w:val="1"/>
      <w:numFmt w:val="decimal"/>
      <w:lvlText w:val="%7."/>
      <w:lvlJc w:val="left"/>
      <w:pPr>
        <w:ind w:left="3600" w:hanging="480"/>
      </w:pPr>
      <w:rPr/>
    </w:lvl>
    <w:lvl w:ilvl="7">
      <w:start w:val="1"/>
      <w:numFmt w:val="decimal"/>
      <w:lvlText w:val="%8、"/>
      <w:lvlJc w:val="left"/>
      <w:pPr>
        <w:ind w:left="4080" w:hanging="480"/>
      </w:pPr>
      <w:rPr/>
    </w:lvl>
    <w:lvl w:ilvl="8">
      <w:start w:val="1"/>
      <w:numFmt w:val="lowerRoman"/>
      <w:lvlText w:val="%9."/>
      <w:lvlJc w:val="right"/>
      <w:pPr>
        <w:ind w:left="4560" w:hanging="480"/>
      </w:pPr>
      <w:rPr/>
    </w:lvl>
  </w:abstractNum>
  <w:abstractNum w:abstractNumId="6">
    <w:lvl w:ilvl="0">
      <w:start w:val="1"/>
      <w:numFmt w:val="decimal"/>
      <w:lvlText w:val="(%1) "/>
      <w:lvlJc w:val="left"/>
      <w:pPr>
        <w:ind w:left="720" w:hanging="480"/>
      </w:pPr>
      <w:rPr/>
    </w:lvl>
    <w:lvl w:ilvl="1">
      <w:start w:val="1"/>
      <w:numFmt w:val="decimal"/>
      <w:lvlText w:val="%2、"/>
      <w:lvlJc w:val="left"/>
      <w:pPr>
        <w:ind w:left="1200" w:hanging="480"/>
      </w:pPr>
      <w:rPr/>
    </w:lvl>
    <w:lvl w:ilvl="2">
      <w:start w:val="1"/>
      <w:numFmt w:val="lowerRoman"/>
      <w:lvlText w:val="%3."/>
      <w:lvlJc w:val="right"/>
      <w:pPr>
        <w:ind w:left="1680" w:hanging="480"/>
      </w:pPr>
      <w:rPr/>
    </w:lvl>
    <w:lvl w:ilvl="3">
      <w:start w:val="1"/>
      <w:numFmt w:val="decimal"/>
      <w:lvlText w:val="%4."/>
      <w:lvlJc w:val="left"/>
      <w:pPr>
        <w:ind w:left="2160" w:hanging="480"/>
      </w:pPr>
      <w:rPr/>
    </w:lvl>
    <w:lvl w:ilvl="4">
      <w:start w:val="1"/>
      <w:numFmt w:val="decimal"/>
      <w:lvlText w:val="%5、"/>
      <w:lvlJc w:val="left"/>
      <w:pPr>
        <w:ind w:left="2640" w:hanging="480"/>
      </w:pPr>
      <w:rPr/>
    </w:lvl>
    <w:lvl w:ilvl="5">
      <w:start w:val="1"/>
      <w:numFmt w:val="lowerRoman"/>
      <w:lvlText w:val="%6."/>
      <w:lvlJc w:val="right"/>
      <w:pPr>
        <w:ind w:left="3120" w:hanging="480"/>
      </w:pPr>
      <w:rPr/>
    </w:lvl>
    <w:lvl w:ilvl="6">
      <w:start w:val="1"/>
      <w:numFmt w:val="decimal"/>
      <w:lvlText w:val="%7."/>
      <w:lvlJc w:val="left"/>
      <w:pPr>
        <w:ind w:left="3600" w:hanging="480"/>
      </w:pPr>
      <w:rPr/>
    </w:lvl>
    <w:lvl w:ilvl="7">
      <w:start w:val="1"/>
      <w:numFmt w:val="decimal"/>
      <w:lvlText w:val="%8、"/>
      <w:lvlJc w:val="left"/>
      <w:pPr>
        <w:ind w:left="4080" w:hanging="480"/>
      </w:pPr>
      <w:rPr/>
    </w:lvl>
    <w:lvl w:ilvl="8">
      <w:start w:val="1"/>
      <w:numFmt w:val="lowerRoman"/>
      <w:lvlText w:val="%9."/>
      <w:lvlJc w:val="right"/>
      <w:pPr>
        <w:ind w:left="4560" w:hanging="480"/>
      </w:pPr>
      <w:rPr/>
    </w:lvl>
  </w:abstractNum>
  <w:abstractNum w:abstractNumId="7">
    <w:lvl w:ilvl="0">
      <w:start w:val="1"/>
      <w:numFmt w:val="decimal"/>
      <w:lvlText w:val="（%1）"/>
      <w:lvlJc w:val="left"/>
      <w:pPr>
        <w:ind w:left="862" w:hanging="720"/>
      </w:pPr>
      <w:rPr/>
    </w:lvl>
    <w:lvl w:ilvl="1">
      <w:start w:val="7"/>
      <w:numFmt w:val="decimal"/>
      <w:lvlText w:val="%2、"/>
      <w:lvlJc w:val="left"/>
      <w:pPr>
        <w:ind w:left="720" w:hanging="720"/>
      </w:pPr>
      <w:rPr/>
    </w:lvl>
    <w:lvl w:ilvl="2">
      <w:start w:val="1"/>
      <w:numFmt w:val="lowerRoman"/>
      <w:lvlText w:val="%3."/>
      <w:lvlJc w:val="right"/>
      <w:pPr>
        <w:ind w:left="1582" w:hanging="480"/>
      </w:pPr>
      <w:rPr/>
    </w:lvl>
    <w:lvl w:ilvl="3">
      <w:start w:val="1"/>
      <w:numFmt w:val="decimal"/>
      <w:lvlText w:val="%4."/>
      <w:lvlJc w:val="left"/>
      <w:pPr>
        <w:ind w:left="2062" w:hanging="480"/>
      </w:pPr>
      <w:rPr/>
    </w:lvl>
    <w:lvl w:ilvl="4">
      <w:start w:val="1"/>
      <w:numFmt w:val="decimal"/>
      <w:lvlText w:val="%5、"/>
      <w:lvlJc w:val="left"/>
      <w:pPr>
        <w:ind w:left="2542" w:hanging="480"/>
      </w:pPr>
      <w:rPr/>
    </w:lvl>
    <w:lvl w:ilvl="5">
      <w:start w:val="1"/>
      <w:numFmt w:val="lowerRoman"/>
      <w:lvlText w:val="%6."/>
      <w:lvlJc w:val="right"/>
      <w:pPr>
        <w:ind w:left="3022" w:hanging="480"/>
      </w:pPr>
      <w:rPr/>
    </w:lvl>
    <w:lvl w:ilvl="6">
      <w:start w:val="1"/>
      <w:numFmt w:val="decimal"/>
      <w:lvlText w:val="%7."/>
      <w:lvlJc w:val="left"/>
      <w:pPr>
        <w:ind w:left="3502" w:hanging="480"/>
      </w:pPr>
      <w:rPr/>
    </w:lvl>
    <w:lvl w:ilvl="7">
      <w:start w:val="1"/>
      <w:numFmt w:val="decimal"/>
      <w:lvlText w:val="%8、"/>
      <w:lvlJc w:val="left"/>
      <w:pPr>
        <w:ind w:left="3982" w:hanging="480"/>
      </w:pPr>
      <w:rPr/>
    </w:lvl>
    <w:lvl w:ilvl="8">
      <w:start w:val="1"/>
      <w:numFmt w:val="lowerRoman"/>
      <w:lvlText w:val="%9."/>
      <w:lvlJc w:val="right"/>
      <w:pPr>
        <w:ind w:left="4462" w:hanging="48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1702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2182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2662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42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3622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4102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582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5062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5542" w:hanging="48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30.0" w:type="dxa"/>
        <w:left w:w="30.0" w:type="dxa"/>
        <w:bottom w:w="30.0" w:type="dxa"/>
        <w:right w:w="3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30.0" w:type="dxa"/>
        <w:left w:w="30.0" w:type="dxa"/>
        <w:bottom w:w="30.0" w:type="dxa"/>
        <w:right w:w="3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30.0" w:type="dxa"/>
        <w:left w:w="30.0" w:type="dxa"/>
        <w:bottom w:w="30.0" w:type="dxa"/>
        <w:right w:w="3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8.jpg"/><Relationship Id="rId10" Type="http://schemas.openxmlformats.org/officeDocument/2006/relationships/image" Target="media/image8.png"/><Relationship Id="rId13" Type="http://schemas.openxmlformats.org/officeDocument/2006/relationships/image" Target="media/image26.png"/><Relationship Id="rId12" Type="http://schemas.openxmlformats.org/officeDocument/2006/relationships/image" Target="media/image17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jpg"/><Relationship Id="rId15" Type="http://schemas.openxmlformats.org/officeDocument/2006/relationships/image" Target="media/image28.png"/><Relationship Id="rId14" Type="http://schemas.openxmlformats.org/officeDocument/2006/relationships/image" Target="media/image20.jpg"/><Relationship Id="rId17" Type="http://schemas.openxmlformats.org/officeDocument/2006/relationships/image" Target="media/image22.jpg"/><Relationship Id="rId16" Type="http://schemas.openxmlformats.org/officeDocument/2006/relationships/image" Target="media/image19.png"/><Relationship Id="rId5" Type="http://schemas.openxmlformats.org/officeDocument/2006/relationships/image" Target="media/image2.jpg"/><Relationship Id="rId19" Type="http://schemas.openxmlformats.org/officeDocument/2006/relationships/image" Target="media/image24.png"/><Relationship Id="rId6" Type="http://schemas.openxmlformats.org/officeDocument/2006/relationships/hyperlink" Target="mailto:pinhan222@gmail.com" TargetMode="External"/><Relationship Id="rId18" Type="http://schemas.openxmlformats.org/officeDocument/2006/relationships/image" Target="media/image21.jpg"/><Relationship Id="rId7" Type="http://schemas.openxmlformats.org/officeDocument/2006/relationships/image" Target="media/image7.jpg"/><Relationship Id="rId8" Type="http://schemas.openxmlformats.org/officeDocument/2006/relationships/image" Target="media/image6.jpg"/></Relationships>
</file>